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2A" w:rsidRDefault="00297F72">
      <w:pPr>
        <w:suppressAutoHyphens/>
        <w:spacing w:after="142" w:line="288" w:lineRule="exact"/>
        <w:rPr>
          <w:rFonts w:ascii="Tahoma" w:eastAsia="Tahoma" w:hAnsi="Tahoma" w:cs="Tahoma"/>
          <w:b/>
          <w:color w:val="000000"/>
          <w:sz w:val="32"/>
          <w:u w:val="single"/>
        </w:rPr>
      </w:pPr>
      <w:r>
        <w:rPr>
          <w:rFonts w:ascii="Tahoma" w:eastAsia="Tahoma" w:hAnsi="Tahoma" w:cs="Tahoma"/>
          <w:b/>
          <w:color w:val="000000"/>
          <w:sz w:val="32"/>
          <w:u w:val="single"/>
        </w:rPr>
        <w:t>ANEXO I</w:t>
      </w:r>
    </w:p>
    <w:p w:rsidR="002B5C2A" w:rsidRDefault="00297F72">
      <w:pPr>
        <w:suppressAutoHyphens/>
        <w:spacing w:after="142" w:line="288" w:lineRule="exact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b/>
          <w:color w:val="000000"/>
          <w:sz w:val="32"/>
        </w:rPr>
        <w:t xml:space="preserve">INFORME DE RENDICIÓN DE CUENTAS </w:t>
      </w:r>
    </w:p>
    <w:p w:rsidR="002B5C2A" w:rsidRDefault="002B5C2A">
      <w:pPr>
        <w:tabs>
          <w:tab w:val="left" w:leader="dot" w:pos="1426"/>
        </w:tabs>
        <w:suppressAutoHyphens/>
        <w:spacing w:after="142" w:line="288" w:lineRule="exact"/>
        <w:ind w:left="20" w:right="6580"/>
        <w:rPr>
          <w:rFonts w:ascii="Tahoma" w:eastAsia="Tahoma" w:hAnsi="Tahoma" w:cs="Tahoma"/>
          <w:sz w:val="24"/>
        </w:rPr>
      </w:pPr>
    </w:p>
    <w:p w:rsidR="002B5C2A" w:rsidRDefault="00297F72">
      <w:pPr>
        <w:tabs>
          <w:tab w:val="left" w:leader="dot" w:pos="1426"/>
        </w:tabs>
        <w:suppressAutoHyphens/>
        <w:spacing w:after="142" w:line="288" w:lineRule="exact"/>
        <w:ind w:right="3969"/>
      </w:pPr>
      <w:r>
        <w:rPr>
          <w:rFonts w:ascii="Tahoma" w:eastAsia="Tahoma" w:hAnsi="Tahoma" w:cs="Tahoma"/>
          <w:color w:val="000000"/>
          <w:sz w:val="26"/>
        </w:rPr>
        <w:t>Sr. Secretario Nacional de Deporte</w:t>
      </w:r>
    </w:p>
    <w:p w:rsidR="002B5C2A" w:rsidRDefault="00152728">
      <w:pPr>
        <w:tabs>
          <w:tab w:val="left" w:leader="dot" w:pos="1426"/>
        </w:tabs>
        <w:suppressAutoHyphens/>
        <w:spacing w:after="142" w:line="288" w:lineRule="exact"/>
        <w:ind w:right="5839"/>
      </w:pPr>
      <w:r>
        <w:rPr>
          <w:rFonts w:ascii="Tahoma" w:eastAsia="Tahoma" w:hAnsi="Tahoma" w:cs="Tahoma"/>
          <w:color w:val="000000"/>
          <w:sz w:val="26"/>
        </w:rPr>
        <w:t>………………………………..</w:t>
      </w:r>
      <w:bookmarkStart w:id="0" w:name="_GoBack"/>
      <w:bookmarkEnd w:id="0"/>
    </w:p>
    <w:p w:rsidR="002B5C2A" w:rsidRDefault="002B5C2A">
      <w:pPr>
        <w:tabs>
          <w:tab w:val="left" w:leader="dot" w:pos="1426"/>
        </w:tabs>
        <w:suppressAutoHyphens/>
        <w:spacing w:after="142" w:line="288" w:lineRule="exact"/>
        <w:ind w:left="20" w:right="6580"/>
        <w:rPr>
          <w:rFonts w:ascii="Tahoma" w:eastAsia="Tahoma" w:hAnsi="Tahoma" w:cs="Tahoma"/>
          <w:sz w:val="26"/>
        </w:rPr>
      </w:pPr>
    </w:p>
    <w:p w:rsidR="002B5C2A" w:rsidRDefault="00297F72">
      <w:pPr>
        <w:suppressAutoHyphens/>
        <w:spacing w:after="142" w:line="360" w:lineRule="auto"/>
        <w:ind w:left="20"/>
        <w:jc w:val="both"/>
        <w:rPr>
          <w:rFonts w:ascii="Tahoma" w:eastAsia="Tahoma" w:hAnsi="Tahoma" w:cs="Tahoma"/>
          <w:color w:val="000000"/>
          <w:sz w:val="26"/>
        </w:rPr>
      </w:pPr>
      <w:r>
        <w:rPr>
          <w:rFonts w:ascii="Tahoma" w:eastAsia="Tahoma" w:hAnsi="Tahoma" w:cs="Tahoma"/>
          <w:color w:val="000000"/>
          <w:sz w:val="26"/>
        </w:rPr>
        <w:t>He realizado una Revisión de la Rendición de Cuentas correspondiente a los fondos recibidos de la Secretaría Nacional del Deporte (</w:t>
      </w:r>
      <w:proofErr w:type="spellStart"/>
      <w:r>
        <w:rPr>
          <w:rFonts w:ascii="Tahoma" w:eastAsia="Tahoma" w:hAnsi="Tahoma" w:cs="Tahoma"/>
          <w:color w:val="000000"/>
          <w:sz w:val="26"/>
        </w:rPr>
        <w:t>ó</w:t>
      </w:r>
      <w:proofErr w:type="spellEnd"/>
      <w:r>
        <w:rPr>
          <w:rFonts w:ascii="Tahoma" w:eastAsia="Tahoma" w:hAnsi="Tahoma" w:cs="Tahoma"/>
          <w:color w:val="000000"/>
          <w:sz w:val="26"/>
        </w:rPr>
        <w:t xml:space="preserve"> de la Dirección Nacional de Deporte si la partida fue otorgada con anterioridad al año 2016</w:t>
      </w:r>
      <w:proofErr w:type="gramStart"/>
      <w:r>
        <w:rPr>
          <w:rFonts w:ascii="Tahoma" w:eastAsia="Tahoma" w:hAnsi="Tahoma" w:cs="Tahoma"/>
          <w:color w:val="000000"/>
          <w:sz w:val="26"/>
        </w:rPr>
        <w:t>)  y</w:t>
      </w:r>
      <w:proofErr w:type="gramEnd"/>
      <w:r>
        <w:rPr>
          <w:rFonts w:ascii="Tahoma" w:eastAsia="Tahoma" w:hAnsi="Tahoma" w:cs="Tahoma"/>
          <w:color w:val="000000"/>
          <w:sz w:val="26"/>
        </w:rPr>
        <w:t xml:space="preserve"> aplicados por (entidad </w:t>
      </w:r>
      <w:bookmarkStart w:id="1" w:name="__DdeLink__202_442966610"/>
      <w:r>
        <w:rPr>
          <w:rFonts w:ascii="Tahoma" w:eastAsia="Tahoma" w:hAnsi="Tahoma" w:cs="Tahoma"/>
          <w:color w:val="000000"/>
          <w:sz w:val="26"/>
        </w:rPr>
        <w:t>que presenta rendición de cuentas</w:t>
      </w:r>
      <w:bookmarkEnd w:id="1"/>
      <w:r>
        <w:rPr>
          <w:rFonts w:ascii="Tahoma" w:eastAsia="Tahoma" w:hAnsi="Tahoma" w:cs="Tahoma"/>
          <w:color w:val="000000"/>
          <w:sz w:val="26"/>
        </w:rPr>
        <w:t>) en el período ……………..de acuerdo al Pronunciamiento N° XX del Colegio de Contadores, Economistas y Administradores del Uruguay.</w:t>
      </w:r>
    </w:p>
    <w:p w:rsidR="002B5C2A" w:rsidRDefault="00297F72">
      <w:pPr>
        <w:suppressAutoHyphens/>
        <w:spacing w:after="142" w:line="360" w:lineRule="auto"/>
        <w:ind w:left="20"/>
        <w:jc w:val="both"/>
        <w:rPr>
          <w:rFonts w:ascii="Tahoma" w:eastAsia="Tahoma" w:hAnsi="Tahoma" w:cs="Tahoma"/>
          <w:color w:val="000000"/>
          <w:sz w:val="26"/>
        </w:rPr>
      </w:pPr>
      <w:r>
        <w:rPr>
          <w:rFonts w:ascii="Tahoma" w:eastAsia="Tahoma" w:hAnsi="Tahoma" w:cs="Tahoma"/>
          <w:color w:val="000000"/>
          <w:sz w:val="26"/>
        </w:rPr>
        <w:t>Dicha Rendición de Cuentas constituye una afirmación de la Dirección de la (entidad que presenta rendición de cuentas) sobre la totalidad de los fondos a rendir cuentas, según el Convenio de referencia en ese período y de todas las aplicaciones efectuadas.</w:t>
      </w:r>
    </w:p>
    <w:p w:rsidR="002B5C2A" w:rsidRDefault="00297F72">
      <w:pPr>
        <w:suppressAutoHyphens/>
        <w:spacing w:after="142" w:line="360" w:lineRule="auto"/>
        <w:ind w:left="20" w:right="20"/>
        <w:jc w:val="both"/>
        <w:rPr>
          <w:rFonts w:ascii="Tahoma" w:eastAsia="Tahoma" w:hAnsi="Tahoma" w:cs="Tahoma"/>
          <w:color w:val="000000"/>
          <w:sz w:val="26"/>
        </w:rPr>
      </w:pPr>
      <w:r>
        <w:rPr>
          <w:rFonts w:ascii="Tahoma" w:eastAsia="Tahoma" w:hAnsi="Tahoma" w:cs="Tahoma"/>
          <w:color w:val="000000"/>
          <w:sz w:val="26"/>
        </w:rPr>
        <w:t>La revisión fue realizada siguiendo las Normas Internacionales aplicables a los trabajos para atestiguar y los Pronunciamientos del Colegio de Contadores, Economistas y Administradores del Uruguay y no constituye un examen de Auditoría, de acuerdo a Normas de Auditoría Generalmente Aceptadas para emitir un dictamen. Dicha revisión también cumple con las disposiciones de la Ordenanza N° 77 del Tribunal de Cuentas de la República y normas establecidas por la Contaduría General de la Nación.</w:t>
      </w:r>
    </w:p>
    <w:p w:rsidR="002B5C2A" w:rsidRDefault="00297F72">
      <w:pPr>
        <w:tabs>
          <w:tab w:val="left" w:leader="dot" w:pos="3255"/>
          <w:tab w:val="left" w:leader="dot" w:pos="4820"/>
          <w:tab w:val="left" w:leader="dot" w:pos="6515"/>
        </w:tabs>
        <w:suppressAutoHyphens/>
        <w:spacing w:after="142" w:line="360" w:lineRule="auto"/>
        <w:ind w:left="20" w:right="20"/>
        <w:jc w:val="both"/>
        <w:rPr>
          <w:rFonts w:ascii="Tahoma" w:eastAsia="Tahoma" w:hAnsi="Tahoma" w:cs="Tahoma"/>
          <w:color w:val="000000"/>
          <w:sz w:val="26"/>
        </w:rPr>
      </w:pPr>
      <w:r>
        <w:rPr>
          <w:rFonts w:ascii="Tahoma" w:eastAsia="Tahoma" w:hAnsi="Tahoma" w:cs="Tahoma"/>
          <w:color w:val="000000"/>
          <w:sz w:val="26"/>
        </w:rPr>
        <w:t xml:space="preserve">Esta revisión incluyó el cotejo de una muestra representativa de la documentación original de ingresos y egresos de fondos. De acuerdo con la revisión y procedimientos aplicados, no tengo evidencia de que se deban realizar modificaciones significativas al informe referido, para que el </w:t>
      </w:r>
      <w:r>
        <w:rPr>
          <w:rFonts w:ascii="Tahoma" w:eastAsia="Tahoma" w:hAnsi="Tahoma" w:cs="Tahoma"/>
          <w:color w:val="000000"/>
          <w:sz w:val="26"/>
        </w:rPr>
        <w:lastRenderedPageBreak/>
        <w:t>mismo refleje adecuadamente los fondos recibidos, y aplicados según resolución N.º</w:t>
      </w:r>
      <w:proofErr w:type="gramStart"/>
      <w:r>
        <w:rPr>
          <w:rFonts w:ascii="Tahoma" w:eastAsia="Tahoma" w:hAnsi="Tahoma" w:cs="Tahoma"/>
          <w:color w:val="000000"/>
          <w:sz w:val="26"/>
        </w:rPr>
        <w:t>.....</w:t>
      </w:r>
      <w:proofErr w:type="gramEnd"/>
    </w:p>
    <w:p w:rsidR="002B5C2A" w:rsidRDefault="00297F72">
      <w:pPr>
        <w:tabs>
          <w:tab w:val="left" w:leader="dot" w:pos="3255"/>
          <w:tab w:val="left" w:leader="dot" w:pos="4820"/>
          <w:tab w:val="left" w:leader="dot" w:pos="6515"/>
        </w:tabs>
        <w:suppressAutoHyphens/>
        <w:spacing w:after="142" w:line="360" w:lineRule="auto"/>
        <w:ind w:left="20" w:right="20"/>
        <w:jc w:val="both"/>
        <w:rPr>
          <w:rFonts w:ascii="Tahoma" w:eastAsia="Tahoma" w:hAnsi="Tahoma" w:cs="Tahoma"/>
          <w:color w:val="000000"/>
          <w:sz w:val="26"/>
        </w:rPr>
      </w:pPr>
      <w:r>
        <w:rPr>
          <w:rFonts w:ascii="Tahoma" w:eastAsia="Tahoma" w:hAnsi="Tahoma" w:cs="Tahoma"/>
          <w:color w:val="000000"/>
          <w:sz w:val="26"/>
        </w:rPr>
        <w:t>El saldo de disponibilidades del período rendido, representa integralmente la realidad, quedando un saldo de $ ............ a utilizar en nuestro poder, el cual se encuentra depositado en Banco ..., Cta. ..., a nombre de ( entidad que presenta rendición de cuentas).</w:t>
      </w:r>
    </w:p>
    <w:p w:rsidR="002B5C2A" w:rsidRDefault="00297F72">
      <w:pPr>
        <w:tabs>
          <w:tab w:val="left" w:leader="dot" w:pos="5199"/>
        </w:tabs>
        <w:suppressAutoHyphens/>
        <w:spacing w:after="142" w:line="360" w:lineRule="auto"/>
        <w:ind w:left="20"/>
        <w:jc w:val="both"/>
        <w:rPr>
          <w:rFonts w:ascii="Tahoma" w:eastAsia="Tahoma" w:hAnsi="Tahoma" w:cs="Tahoma"/>
          <w:color w:val="000000"/>
          <w:sz w:val="28"/>
        </w:rPr>
      </w:pPr>
      <w:r>
        <w:rPr>
          <w:rFonts w:ascii="Tahoma" w:eastAsia="Tahoma" w:hAnsi="Tahoma" w:cs="Tahoma"/>
          <w:color w:val="000000"/>
          <w:sz w:val="26"/>
        </w:rPr>
        <w:t>Mi relación con la (entidad que presenta rendición de cuentas) es de........</w:t>
      </w:r>
      <w:r>
        <w:rPr>
          <w:rFonts w:ascii="Tahoma" w:eastAsia="Tahoma" w:hAnsi="Tahoma" w:cs="Tahoma"/>
          <w:color w:val="000000"/>
          <w:sz w:val="26"/>
        </w:rPr>
        <w:tab/>
      </w:r>
    </w:p>
    <w:p w:rsidR="002B5C2A" w:rsidRDefault="002B5C2A">
      <w:pPr>
        <w:suppressAutoHyphens/>
        <w:spacing w:after="142" w:line="360" w:lineRule="auto"/>
        <w:ind w:left="20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97F72">
      <w:pPr>
        <w:suppressAutoHyphens/>
        <w:spacing w:after="142" w:line="360" w:lineRule="auto"/>
        <w:ind w:left="20"/>
        <w:jc w:val="both"/>
        <w:rPr>
          <w:rFonts w:ascii="Tahoma" w:eastAsia="Tahoma" w:hAnsi="Tahoma" w:cs="Tahoma"/>
          <w:color w:val="000000"/>
          <w:sz w:val="28"/>
        </w:rPr>
      </w:pPr>
      <w:r>
        <w:rPr>
          <w:rFonts w:ascii="Tahoma" w:eastAsia="Tahoma" w:hAnsi="Tahoma" w:cs="Tahoma"/>
          <w:color w:val="000000"/>
          <w:sz w:val="28"/>
        </w:rPr>
        <w:t>Lugar y fecha de emisión</w:t>
      </w:r>
    </w:p>
    <w:p w:rsidR="002B5C2A" w:rsidRDefault="00297F72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  <w:r>
        <w:rPr>
          <w:rFonts w:ascii="Tahoma" w:eastAsia="Tahoma" w:hAnsi="Tahoma" w:cs="Tahoma"/>
          <w:color w:val="000000"/>
          <w:sz w:val="28"/>
        </w:rPr>
        <w:t>Firma del Cr. Público</w:t>
      </w:r>
      <w:r>
        <w:rPr>
          <w:rFonts w:ascii="Tahoma" w:eastAsia="Tahoma" w:hAnsi="Tahoma" w:cs="Tahoma"/>
          <w:color w:val="000000"/>
          <w:sz w:val="28"/>
        </w:rPr>
        <w:tab/>
      </w:r>
    </w:p>
    <w:p w:rsidR="002B5C2A" w:rsidRDefault="00297F72">
      <w:pPr>
        <w:tabs>
          <w:tab w:val="left" w:pos="6515"/>
        </w:tabs>
        <w:suppressAutoHyphens/>
        <w:spacing w:after="142" w:line="360" w:lineRule="auto"/>
        <w:jc w:val="both"/>
      </w:pPr>
      <w:bookmarkStart w:id="2" w:name="__DdeLink__16_442966610"/>
      <w:r>
        <w:rPr>
          <w:rFonts w:ascii="Tahoma" w:eastAsia="Tahoma" w:hAnsi="Tahoma" w:cs="Tahoma"/>
          <w:color w:val="000000"/>
          <w:sz w:val="28"/>
        </w:rPr>
        <w:t xml:space="preserve">Sello </w:t>
      </w:r>
      <w:proofErr w:type="spellStart"/>
      <w:r>
        <w:rPr>
          <w:rFonts w:ascii="Tahoma" w:eastAsia="Tahoma" w:hAnsi="Tahoma" w:cs="Tahoma"/>
          <w:color w:val="000000"/>
          <w:sz w:val="28"/>
        </w:rPr>
        <w:t>identificatorio</w:t>
      </w:r>
      <w:proofErr w:type="spellEnd"/>
      <w:r>
        <w:rPr>
          <w:rFonts w:ascii="Tahoma" w:eastAsia="Tahoma" w:hAnsi="Tahoma" w:cs="Tahoma"/>
          <w:color w:val="000000"/>
          <w:sz w:val="28"/>
        </w:rPr>
        <w:t xml:space="preserve"> </w:t>
      </w:r>
      <w:bookmarkEnd w:id="2"/>
      <w:r>
        <w:rPr>
          <w:rFonts w:ascii="Tahoma" w:eastAsia="Tahoma" w:hAnsi="Tahoma" w:cs="Tahoma"/>
          <w:color w:val="000000"/>
          <w:sz w:val="28"/>
        </w:rPr>
        <w:t>y timbre</w:t>
      </w:r>
    </w:p>
    <w:p w:rsidR="002B5C2A" w:rsidRDefault="002B5C2A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B5C2A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B5C2A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B5C2A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B5C2A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B5C2A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B5C2A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B5C2A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B5C2A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97F72">
      <w:pPr>
        <w:tabs>
          <w:tab w:val="left" w:pos="6515"/>
        </w:tabs>
        <w:suppressAutoHyphens/>
        <w:spacing w:after="142" w:line="360" w:lineRule="auto"/>
        <w:jc w:val="center"/>
        <w:rPr>
          <w:rFonts w:ascii="Tahoma" w:eastAsia="Tahoma" w:hAnsi="Tahoma" w:cs="Tahoma"/>
          <w:b/>
          <w:color w:val="000000"/>
          <w:sz w:val="32"/>
        </w:rPr>
      </w:pPr>
      <w:r>
        <w:rPr>
          <w:rFonts w:ascii="Tahoma" w:eastAsia="Tahoma" w:hAnsi="Tahoma" w:cs="Tahoma"/>
          <w:b/>
          <w:color w:val="000000"/>
          <w:sz w:val="32"/>
        </w:rPr>
        <w:lastRenderedPageBreak/>
        <w:t>ANEXO</w:t>
      </w:r>
    </w:p>
    <w:p w:rsidR="002B5C2A" w:rsidRDefault="00297F72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b/>
          <w:color w:val="000000"/>
          <w:sz w:val="32"/>
        </w:rPr>
      </w:pPr>
      <w:r>
        <w:rPr>
          <w:rFonts w:ascii="Tahoma" w:eastAsia="Tahoma" w:hAnsi="Tahoma" w:cs="Tahoma"/>
          <w:b/>
          <w:color w:val="000000"/>
          <w:sz w:val="32"/>
        </w:rPr>
        <w:t xml:space="preserve">                            PRONUNCIAMIENTO N°20</w:t>
      </w:r>
    </w:p>
    <w:p w:rsidR="002B5C2A" w:rsidRDefault="00297F72">
      <w:pPr>
        <w:tabs>
          <w:tab w:val="left" w:pos="6515"/>
        </w:tabs>
        <w:suppressAutoHyphens/>
        <w:spacing w:after="142" w:line="360" w:lineRule="auto"/>
        <w:jc w:val="both"/>
      </w:pPr>
      <w:r>
        <w:rPr>
          <w:rFonts w:ascii="Tahoma" w:eastAsia="Tahoma" w:hAnsi="Tahoma" w:cs="Tahoma"/>
          <w:color w:val="000000"/>
          <w:sz w:val="28"/>
        </w:rPr>
        <w:t>DESTINO DE LA PARTIDA: ………………………………………………….</w:t>
      </w:r>
    </w:p>
    <w:p w:rsidR="002B5C2A" w:rsidRDefault="002B5C2A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97F72">
      <w:pPr>
        <w:tabs>
          <w:tab w:val="left" w:pos="6515"/>
        </w:tabs>
        <w:suppressAutoHyphens/>
        <w:spacing w:after="142" w:line="360" w:lineRule="auto"/>
        <w:jc w:val="both"/>
      </w:pPr>
      <w:r>
        <w:rPr>
          <w:rFonts w:ascii="Tahoma" w:eastAsia="Tahoma" w:hAnsi="Tahoma" w:cs="Tahoma"/>
          <w:color w:val="000000"/>
          <w:sz w:val="28"/>
        </w:rPr>
        <w:t>El informe de Rendición de Cuentas que antecede está formulado de acuerdo a la Ordenanza Nro.77 del Tribunal de Cuentas, resolución de fecha 28 de agosto de 2013 y conforme al Pronunciamiento Nro.20 emitido por el Colegio de Contadores, Economistas y Administradores del Uruguay.</w:t>
      </w:r>
    </w:p>
    <w:p w:rsidR="002B5C2A" w:rsidRDefault="00297F72">
      <w:pPr>
        <w:tabs>
          <w:tab w:val="left" w:pos="6515"/>
        </w:tabs>
        <w:suppressAutoHyphens/>
        <w:spacing w:after="142" w:line="360" w:lineRule="auto"/>
        <w:jc w:val="both"/>
      </w:pPr>
      <w:r>
        <w:rPr>
          <w:rFonts w:ascii="Tahoma" w:eastAsia="Tahoma" w:hAnsi="Tahoma" w:cs="Tahoma"/>
          <w:b/>
          <w:color w:val="000000"/>
          <w:sz w:val="32"/>
        </w:rPr>
        <w:t>FLUJO DE FONDOS – DISPONIBILIDADES</w:t>
      </w:r>
    </w:p>
    <w:p w:rsidR="002B5C2A" w:rsidRDefault="00297F72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  <w:r>
        <w:rPr>
          <w:rFonts w:ascii="Tahoma" w:eastAsia="Tahoma" w:hAnsi="Tahoma" w:cs="Tahoma"/>
          <w:color w:val="000000"/>
          <w:sz w:val="28"/>
        </w:rPr>
        <w:t>De acuerdo a la información presentada, el resumen de las disponibilidades del período presentado es:</w:t>
      </w: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4"/>
        <w:gridCol w:w="1006"/>
        <w:gridCol w:w="2880"/>
      </w:tblGrid>
      <w:tr w:rsidR="002B5C2A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2A" w:rsidRDefault="00297F72">
            <w:pPr>
              <w:pStyle w:val="Contenidodelatabla"/>
              <w:jc w:val="center"/>
              <w:rPr>
                <w:rFonts w:ascii="Liberation Serif" w:eastAsia="Tahoma" w:hAnsi="Liberation Serif" w:cs="Tahoma"/>
                <w:color w:val="000000"/>
                <w:sz w:val="24"/>
              </w:rPr>
            </w:pPr>
            <w:r>
              <w:rPr>
                <w:rFonts w:ascii="Liberation Serif" w:eastAsia="Tahoma" w:hAnsi="Liberation Serif" w:cs="Tahoma"/>
                <w:color w:val="000000"/>
                <w:sz w:val="24"/>
              </w:rPr>
              <w:t>Saldo inicial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2A" w:rsidRDefault="002B5C2A">
            <w:pPr>
              <w:pStyle w:val="Contenidodelatabla"/>
              <w:rPr>
                <w:rFonts w:ascii="Liberation Serif" w:eastAsia="Tahoma" w:hAnsi="Liberation Serif" w:cs="Tahom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2A" w:rsidRDefault="002B5C2A">
            <w:pPr>
              <w:pStyle w:val="Contenidodelatabla"/>
              <w:rPr>
                <w:rFonts w:ascii="Liberation Serif" w:eastAsia="Tahoma" w:hAnsi="Liberation Serif" w:cs="Tahoma"/>
                <w:color w:val="000000"/>
                <w:sz w:val="24"/>
              </w:rPr>
            </w:pPr>
          </w:p>
        </w:tc>
      </w:tr>
      <w:tr w:rsidR="002B5C2A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2A" w:rsidRDefault="00297F72">
            <w:pPr>
              <w:pStyle w:val="Contenidodelatabla"/>
              <w:jc w:val="center"/>
              <w:rPr>
                <w:rFonts w:ascii="Liberation Serif" w:eastAsia="Tahoma" w:hAnsi="Liberation Serif" w:cs="Tahoma"/>
                <w:color w:val="000000"/>
                <w:sz w:val="24"/>
              </w:rPr>
            </w:pPr>
            <w:r>
              <w:rPr>
                <w:rFonts w:ascii="Liberation Serif" w:eastAsia="Tahoma" w:hAnsi="Liberation Serif" w:cs="Tahoma"/>
                <w:color w:val="000000"/>
                <w:sz w:val="24"/>
              </w:rPr>
              <w:t>Ingresos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2A" w:rsidRDefault="00297F72">
            <w:pPr>
              <w:pStyle w:val="Contenidodelatabla"/>
              <w:jc w:val="center"/>
              <w:rPr>
                <w:rFonts w:ascii="Liberation Serif" w:eastAsia="Tahoma" w:hAnsi="Liberation Serif" w:cs="Tahoma"/>
                <w:color w:val="000000"/>
                <w:sz w:val="24"/>
              </w:rPr>
            </w:pPr>
            <w:r>
              <w:rPr>
                <w:rFonts w:ascii="Liberation Serif" w:eastAsia="Tahoma" w:hAnsi="Liberation Serif" w:cs="Tahoma"/>
                <w:color w:val="000000"/>
                <w:sz w:val="24"/>
              </w:rPr>
              <w:t>+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2A" w:rsidRDefault="002B5C2A">
            <w:pPr>
              <w:pStyle w:val="Contenidodelatabla"/>
              <w:rPr>
                <w:rFonts w:ascii="Liberation Serif" w:eastAsia="Tahoma" w:hAnsi="Liberation Serif" w:cs="Tahoma"/>
                <w:color w:val="000000"/>
                <w:sz w:val="24"/>
              </w:rPr>
            </w:pPr>
          </w:p>
        </w:tc>
      </w:tr>
      <w:tr w:rsidR="002B5C2A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2A" w:rsidRDefault="00297F72">
            <w:pPr>
              <w:pStyle w:val="Contenidodelatabla"/>
              <w:jc w:val="center"/>
              <w:rPr>
                <w:rFonts w:ascii="Liberation Serif" w:eastAsia="Tahoma" w:hAnsi="Liberation Serif" w:cs="Tahoma"/>
                <w:color w:val="000000"/>
                <w:sz w:val="24"/>
              </w:rPr>
            </w:pPr>
            <w:r>
              <w:rPr>
                <w:rFonts w:ascii="Liberation Serif" w:eastAsia="Tahoma" w:hAnsi="Liberation Serif" w:cs="Tahoma"/>
                <w:color w:val="000000"/>
                <w:sz w:val="24"/>
              </w:rPr>
              <w:t>Egresos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2A" w:rsidRDefault="00297F72">
            <w:pPr>
              <w:pStyle w:val="Contenidodelatabla"/>
              <w:jc w:val="center"/>
              <w:rPr>
                <w:rFonts w:ascii="Liberation Serif" w:eastAsia="Tahoma" w:hAnsi="Liberation Serif" w:cs="Tahoma"/>
                <w:color w:val="000000"/>
                <w:sz w:val="24"/>
              </w:rPr>
            </w:pPr>
            <w:r>
              <w:rPr>
                <w:rFonts w:ascii="Liberation Serif" w:eastAsia="Tahoma" w:hAnsi="Liberation Serif" w:cs="Tahoma"/>
                <w:color w:val="000000"/>
                <w:sz w:val="24"/>
              </w:rPr>
              <w:t>-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2A" w:rsidRDefault="002B5C2A">
            <w:pPr>
              <w:pStyle w:val="Contenidodelatabla"/>
              <w:rPr>
                <w:rFonts w:ascii="Liberation Serif" w:eastAsia="Tahoma" w:hAnsi="Liberation Serif" w:cs="Tahoma"/>
                <w:color w:val="000000"/>
                <w:sz w:val="24"/>
              </w:rPr>
            </w:pPr>
          </w:p>
        </w:tc>
      </w:tr>
      <w:tr w:rsidR="002B5C2A"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2A" w:rsidRDefault="00297F72">
            <w:pPr>
              <w:pStyle w:val="Contenidodelatabla"/>
              <w:jc w:val="center"/>
              <w:rPr>
                <w:rFonts w:ascii="Liberation Serif" w:eastAsia="Tahoma" w:hAnsi="Liberation Serif" w:cs="Tahoma"/>
                <w:color w:val="000000"/>
                <w:sz w:val="24"/>
              </w:rPr>
            </w:pPr>
            <w:r>
              <w:rPr>
                <w:rFonts w:ascii="Liberation Serif" w:eastAsia="Tahoma" w:hAnsi="Liberation Serif" w:cs="Tahoma"/>
                <w:color w:val="000000"/>
                <w:sz w:val="24"/>
              </w:rPr>
              <w:t>Saldo Final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C2A" w:rsidRDefault="002B5C2A">
            <w:pPr>
              <w:pStyle w:val="Contenidodelatabla"/>
              <w:rPr>
                <w:rFonts w:ascii="Liberation Serif" w:eastAsia="Tahoma" w:hAnsi="Liberation Serif" w:cs="Tahoma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C2A" w:rsidRDefault="002B5C2A">
            <w:pPr>
              <w:pStyle w:val="Contenidodelatabla"/>
              <w:rPr>
                <w:rFonts w:ascii="Liberation Serif" w:eastAsia="Tahoma" w:hAnsi="Liberation Serif" w:cs="Tahoma"/>
                <w:color w:val="000000"/>
                <w:sz w:val="24"/>
              </w:rPr>
            </w:pPr>
          </w:p>
        </w:tc>
      </w:tr>
    </w:tbl>
    <w:p w:rsidR="002B5C2A" w:rsidRDefault="002B5C2A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97F72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  <w:r>
        <w:rPr>
          <w:rFonts w:ascii="Tahoma" w:eastAsia="Tahoma" w:hAnsi="Tahoma" w:cs="Tahoma"/>
          <w:color w:val="000000"/>
          <w:sz w:val="28"/>
        </w:rPr>
        <w:t>Se expide en la ciudad de</w:t>
      </w:r>
      <w:proofErr w:type="gramStart"/>
      <w:r>
        <w:rPr>
          <w:rFonts w:ascii="Tahoma" w:eastAsia="Tahoma" w:hAnsi="Tahoma" w:cs="Tahoma"/>
          <w:color w:val="000000"/>
          <w:sz w:val="28"/>
        </w:rPr>
        <w:t>……,</w:t>
      </w:r>
      <w:proofErr w:type="gramEnd"/>
      <w:r>
        <w:rPr>
          <w:rFonts w:ascii="Tahoma" w:eastAsia="Tahoma" w:hAnsi="Tahoma" w:cs="Tahoma"/>
          <w:color w:val="000000"/>
          <w:sz w:val="28"/>
        </w:rPr>
        <w:t xml:space="preserve"> a los …...días del mes de ……...del año……</w:t>
      </w:r>
    </w:p>
    <w:p w:rsidR="00CE1969" w:rsidRDefault="00CE1969">
      <w:pPr>
        <w:tabs>
          <w:tab w:val="left" w:pos="6515"/>
        </w:tabs>
        <w:suppressAutoHyphens/>
        <w:spacing w:after="142" w:line="360" w:lineRule="auto"/>
        <w:jc w:val="both"/>
        <w:rPr>
          <w:rFonts w:ascii="Tahoma" w:eastAsia="Tahoma" w:hAnsi="Tahoma" w:cs="Tahoma"/>
          <w:color w:val="000000"/>
          <w:sz w:val="28"/>
        </w:rPr>
      </w:pPr>
    </w:p>
    <w:p w:rsidR="002B5C2A" w:rsidRDefault="00297F72">
      <w:pPr>
        <w:tabs>
          <w:tab w:val="left" w:pos="6515"/>
        </w:tabs>
        <w:suppressAutoHyphens/>
        <w:spacing w:after="142" w:line="360" w:lineRule="auto"/>
        <w:jc w:val="both"/>
      </w:pPr>
      <w:r>
        <w:rPr>
          <w:rFonts w:ascii="Tahoma" w:eastAsia="Tahoma" w:hAnsi="Tahoma" w:cs="Tahoma"/>
          <w:color w:val="000000"/>
          <w:sz w:val="28"/>
        </w:rPr>
        <w:t>Firma del Cr. Público</w:t>
      </w:r>
      <w:r>
        <w:rPr>
          <w:rFonts w:ascii="Tahoma" w:eastAsia="Tahoma" w:hAnsi="Tahoma" w:cs="Tahoma"/>
          <w:color w:val="000000"/>
          <w:sz w:val="28"/>
        </w:rPr>
        <w:tab/>
      </w:r>
    </w:p>
    <w:p w:rsidR="002B5C2A" w:rsidRDefault="00297F72">
      <w:pPr>
        <w:tabs>
          <w:tab w:val="left" w:pos="6515"/>
        </w:tabs>
        <w:suppressAutoHyphens/>
        <w:spacing w:after="142" w:line="360" w:lineRule="auto"/>
        <w:jc w:val="both"/>
      </w:pPr>
      <w:r>
        <w:rPr>
          <w:rFonts w:ascii="Tahoma" w:eastAsia="Tahoma" w:hAnsi="Tahoma" w:cs="Tahoma"/>
          <w:color w:val="000000"/>
          <w:sz w:val="28"/>
        </w:rPr>
        <w:t xml:space="preserve">Sello </w:t>
      </w:r>
      <w:proofErr w:type="spellStart"/>
      <w:r>
        <w:rPr>
          <w:rFonts w:ascii="Tahoma" w:eastAsia="Tahoma" w:hAnsi="Tahoma" w:cs="Tahoma"/>
          <w:color w:val="000000"/>
          <w:sz w:val="28"/>
        </w:rPr>
        <w:t>identificatorio</w:t>
      </w:r>
      <w:proofErr w:type="spellEnd"/>
      <w:r>
        <w:rPr>
          <w:rFonts w:ascii="Tahoma" w:eastAsia="Tahoma" w:hAnsi="Tahoma" w:cs="Tahoma"/>
          <w:color w:val="000000"/>
          <w:sz w:val="28"/>
        </w:rPr>
        <w:t xml:space="preserve"> </w:t>
      </w:r>
    </w:p>
    <w:sectPr w:rsidR="002B5C2A">
      <w:pgSz w:w="12240" w:h="15840"/>
      <w:pgMar w:top="1440" w:right="1800" w:bottom="1440" w:left="18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5C2A"/>
    <w:rsid w:val="00152728"/>
    <w:rsid w:val="00297F72"/>
    <w:rsid w:val="002B5C2A"/>
    <w:rsid w:val="00C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35168-CA82-414D-B32F-06CD2D8D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NSimSun" w:hAnsi="Calibri" w:cs="Arial"/>
        <w:kern w:val="2"/>
        <w:szCs w:val="24"/>
        <w:lang w:val="es-UY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424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Deporte</cp:lastModifiedBy>
  <cp:revision>7</cp:revision>
  <dcterms:created xsi:type="dcterms:W3CDTF">2018-09-28T15:13:00Z</dcterms:created>
  <dcterms:modified xsi:type="dcterms:W3CDTF">2020-10-09T13:55:00Z</dcterms:modified>
  <dc:language>es-UY</dc:language>
</cp:coreProperties>
</file>